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1CF1E" w14:textId="4DF5721B" w:rsidR="00EF22D9" w:rsidRDefault="00225BCC" w:rsidP="00EF22D9">
      <w:pPr>
        <w:rPr>
          <w:rFonts w:ascii="Arial" w:hAnsi="Arial" w:cs="Arial"/>
          <w:lang w:val="en-US"/>
        </w:rPr>
      </w:pPr>
      <w:r>
        <w:rPr>
          <w:rFonts w:ascii="Arial" w:hAnsi="Arial" w:cs="Arial"/>
          <w:lang w:val="en-US"/>
        </w:rPr>
        <w:t>October</w:t>
      </w:r>
      <w:r w:rsidR="006371C5">
        <w:rPr>
          <w:rFonts w:ascii="Arial" w:hAnsi="Arial" w:cs="Arial"/>
          <w:lang w:val="en-US"/>
        </w:rPr>
        <w:t xml:space="preserve"> </w:t>
      </w:r>
      <w:r>
        <w:rPr>
          <w:rFonts w:ascii="Arial" w:hAnsi="Arial" w:cs="Arial"/>
          <w:lang w:val="en-US"/>
        </w:rPr>
        <w:t>6</w:t>
      </w:r>
      <w:r w:rsidRPr="00225BCC">
        <w:rPr>
          <w:rFonts w:ascii="Arial" w:hAnsi="Arial" w:cs="Arial"/>
          <w:vertAlign w:val="superscript"/>
          <w:lang w:val="en-US"/>
        </w:rPr>
        <w:t>th</w:t>
      </w:r>
      <w:r w:rsidR="00943353" w:rsidRPr="00943353">
        <w:rPr>
          <w:rFonts w:ascii="Arial" w:hAnsi="Arial" w:cs="Arial"/>
          <w:lang w:val="en-US"/>
        </w:rPr>
        <w:t>,</w:t>
      </w:r>
      <w:r w:rsidR="00EF22D9" w:rsidRPr="00943353">
        <w:rPr>
          <w:rFonts w:ascii="Arial" w:hAnsi="Arial" w:cs="Arial"/>
          <w:lang w:val="en-US"/>
        </w:rPr>
        <w:t xml:space="preserve"> 2020</w:t>
      </w:r>
      <w:r w:rsidR="00EF22D9" w:rsidRPr="00D2246E">
        <w:rPr>
          <w:rFonts w:ascii="Arial" w:hAnsi="Arial" w:cs="Arial"/>
          <w:lang w:val="en-US"/>
        </w:rPr>
        <w:t xml:space="preserve"> </w:t>
      </w:r>
    </w:p>
    <w:p w14:paraId="524522A2" w14:textId="77777777" w:rsidR="0073154B" w:rsidRDefault="0073154B" w:rsidP="00EF22D9">
      <w:pPr>
        <w:rPr>
          <w:rFonts w:ascii="Arial" w:hAnsi="Arial" w:cs="Arial"/>
          <w:lang w:val="en-US"/>
        </w:rPr>
      </w:pPr>
    </w:p>
    <w:p w14:paraId="0D54A882" w14:textId="735F7411" w:rsidR="009475B2" w:rsidRDefault="0073154B" w:rsidP="00EF22D9">
      <w:pPr>
        <w:rPr>
          <w:rFonts w:ascii="Arial" w:hAnsi="Arial" w:cs="Arial"/>
          <w:color w:val="FF0000"/>
          <w:sz w:val="32"/>
          <w:szCs w:val="32"/>
          <w:lang w:val="en-US"/>
        </w:rPr>
      </w:pPr>
      <w:r w:rsidRPr="00225BCC">
        <w:rPr>
          <w:rFonts w:ascii="Arial" w:hAnsi="Arial" w:cs="Arial"/>
          <w:color w:val="FF0000"/>
          <w:sz w:val="32"/>
          <w:szCs w:val="32"/>
          <w:lang w:val="en-US"/>
        </w:rPr>
        <w:t xml:space="preserve">AEC Europe </w:t>
      </w:r>
      <w:r w:rsidR="00023852" w:rsidRPr="00225BCC">
        <w:rPr>
          <w:rFonts w:ascii="Arial" w:hAnsi="Arial" w:cs="Arial"/>
          <w:color w:val="FF0000"/>
          <w:sz w:val="32"/>
          <w:szCs w:val="32"/>
          <w:lang w:val="en-US"/>
        </w:rPr>
        <w:t>|</w:t>
      </w:r>
      <w:r w:rsidRPr="00225BCC">
        <w:rPr>
          <w:rFonts w:ascii="Arial" w:hAnsi="Arial" w:cs="Arial"/>
          <w:color w:val="FF0000"/>
          <w:sz w:val="32"/>
          <w:szCs w:val="32"/>
          <w:lang w:val="en-US"/>
        </w:rPr>
        <w:t xml:space="preserve"> </w:t>
      </w:r>
      <w:r w:rsidR="002F3895" w:rsidRPr="00225BCC">
        <w:rPr>
          <w:rFonts w:ascii="Arial" w:hAnsi="Arial" w:cs="Arial"/>
          <w:color w:val="FF0000"/>
          <w:sz w:val="32"/>
          <w:szCs w:val="32"/>
          <w:lang w:val="en-US"/>
        </w:rPr>
        <w:t xml:space="preserve">Dodge and RAM </w:t>
      </w:r>
      <w:r w:rsidR="0083752E" w:rsidRPr="00225BCC">
        <w:rPr>
          <w:rFonts w:ascii="Arial" w:hAnsi="Arial" w:cs="Arial"/>
          <w:color w:val="FF0000"/>
          <w:sz w:val="32"/>
          <w:szCs w:val="32"/>
          <w:lang w:val="en-US"/>
        </w:rPr>
        <w:t xml:space="preserve">| </w:t>
      </w:r>
      <w:r w:rsidR="009475B2" w:rsidRPr="00225BCC">
        <w:rPr>
          <w:rFonts w:ascii="Arial" w:hAnsi="Arial" w:cs="Arial"/>
          <w:color w:val="FF0000"/>
          <w:sz w:val="32"/>
          <w:szCs w:val="32"/>
          <w:lang w:val="en-US"/>
        </w:rPr>
        <w:t xml:space="preserve">Official importer AEC Europe </w:t>
      </w:r>
      <w:r w:rsidR="00225BCC" w:rsidRPr="00225BCC">
        <w:rPr>
          <w:rFonts w:ascii="Arial" w:hAnsi="Arial" w:cs="Arial"/>
          <w:color w:val="FF0000"/>
          <w:sz w:val="32"/>
          <w:szCs w:val="32"/>
          <w:lang w:val="en-US"/>
        </w:rPr>
        <w:t>closes 3</w:t>
      </w:r>
      <w:r w:rsidR="00225BCC" w:rsidRPr="00225BCC">
        <w:rPr>
          <w:rFonts w:ascii="Arial" w:hAnsi="Arial" w:cs="Arial"/>
          <w:color w:val="FF0000"/>
          <w:sz w:val="32"/>
          <w:szCs w:val="32"/>
          <w:vertAlign w:val="superscript"/>
          <w:lang w:val="en-US"/>
        </w:rPr>
        <w:t>rd</w:t>
      </w:r>
      <w:r w:rsidR="00225BCC" w:rsidRPr="00225BCC">
        <w:rPr>
          <w:rFonts w:ascii="Arial" w:hAnsi="Arial" w:cs="Arial"/>
          <w:color w:val="FF0000"/>
          <w:sz w:val="32"/>
          <w:szCs w:val="32"/>
          <w:lang w:val="en-US"/>
        </w:rPr>
        <w:t xml:space="preserve"> quarter of 2020 with exceptional growth of 78% YoY</w:t>
      </w:r>
      <w:r w:rsidR="00225BCC">
        <w:rPr>
          <w:rFonts w:ascii="Arial" w:hAnsi="Arial" w:cs="Arial"/>
          <w:color w:val="FF0000"/>
          <w:sz w:val="32"/>
          <w:szCs w:val="32"/>
          <w:lang w:val="en-US"/>
        </w:rPr>
        <w:t xml:space="preserve"> shattering current sales records</w:t>
      </w:r>
    </w:p>
    <w:p w14:paraId="2FF494F5" w14:textId="77777777" w:rsidR="00225BCC" w:rsidRPr="00225BCC" w:rsidRDefault="00225BCC" w:rsidP="00EF22D9">
      <w:pPr>
        <w:rPr>
          <w:rFonts w:ascii="Arial" w:hAnsi="Arial" w:cs="Arial"/>
          <w:color w:val="FF0000"/>
          <w:sz w:val="32"/>
          <w:szCs w:val="32"/>
          <w:lang w:val="en-US"/>
        </w:rPr>
      </w:pPr>
    </w:p>
    <w:p w14:paraId="65F7F847" w14:textId="5784D509" w:rsidR="0090231C" w:rsidRDefault="00225BCC" w:rsidP="4D2E3F64">
      <w:r>
        <w:rPr>
          <w:noProof/>
        </w:rPr>
        <w:drawing>
          <wp:inline distT="0" distB="0" distL="0" distR="0" wp14:anchorId="7BC88A49" wp14:editId="49798F8C">
            <wp:extent cx="6200775" cy="41338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0775" cy="4133850"/>
                    </a:xfrm>
                    <a:prstGeom prst="rect">
                      <a:avLst/>
                    </a:prstGeom>
                    <a:noFill/>
                    <a:ln>
                      <a:noFill/>
                    </a:ln>
                  </pic:spPr>
                </pic:pic>
              </a:graphicData>
            </a:graphic>
          </wp:inline>
        </w:drawing>
      </w:r>
    </w:p>
    <w:p w14:paraId="2CF0A534" w14:textId="77777777" w:rsidR="009475B2" w:rsidRDefault="009475B2" w:rsidP="5D6AD3B2">
      <w:pPr>
        <w:rPr>
          <w:rFonts w:ascii="Arial" w:hAnsi="Arial" w:cs="Arial"/>
          <w:b/>
          <w:bCs/>
          <w:highlight w:val="yellow"/>
          <w:lang w:val="en-CA"/>
        </w:rPr>
      </w:pPr>
    </w:p>
    <w:p w14:paraId="5324092B" w14:textId="283772A9" w:rsidR="4ED6DB9A" w:rsidRDefault="00225BCC">
      <w:pPr>
        <w:rPr>
          <w:rFonts w:ascii="Arial" w:hAnsi="Arial" w:cs="Arial"/>
          <w:b/>
          <w:bCs/>
          <w:lang w:val="en-US"/>
        </w:rPr>
      </w:pPr>
      <w:r>
        <w:rPr>
          <w:rFonts w:ascii="Arial" w:hAnsi="Arial" w:cs="Arial"/>
          <w:b/>
          <w:bCs/>
          <w:lang w:val="en-US"/>
        </w:rPr>
        <w:t>AEC Europe, official Dodge/RAM importer in the EU/EFTA, closes the 3</w:t>
      </w:r>
      <w:r>
        <w:rPr>
          <w:rFonts w:ascii="Arial" w:hAnsi="Arial" w:cs="Arial"/>
          <w:b/>
          <w:bCs/>
          <w:vertAlign w:val="superscript"/>
          <w:lang w:val="en-US"/>
        </w:rPr>
        <w:t>rd</w:t>
      </w:r>
      <w:r>
        <w:rPr>
          <w:rFonts w:ascii="Arial" w:hAnsi="Arial" w:cs="Arial"/>
          <w:b/>
          <w:bCs/>
          <w:lang w:val="en-US"/>
        </w:rPr>
        <w:t xml:space="preserve"> quarter of 2020 with exceptional growth of 78% YoY. This shatters the current 2020 sales records and proves continuous interest for American vehicles in Europe.</w:t>
      </w:r>
    </w:p>
    <w:p w14:paraId="72367BF5" w14:textId="2F3E598B" w:rsidR="00225BCC" w:rsidRDefault="00225BCC">
      <w:pPr>
        <w:rPr>
          <w:rFonts w:ascii="Arial" w:hAnsi="Arial" w:cs="Arial"/>
          <w:b/>
          <w:bCs/>
          <w:lang w:val="en-US"/>
        </w:rPr>
      </w:pPr>
    </w:p>
    <w:p w14:paraId="4970C09F" w14:textId="77777777" w:rsidR="00225BCC" w:rsidRDefault="00225BCC" w:rsidP="00225BCC">
      <w:pPr>
        <w:pStyle w:val="StandardWeb"/>
        <w:numPr>
          <w:ilvl w:val="0"/>
          <w:numId w:val="21"/>
        </w:numPr>
        <w:shd w:val="clear" w:color="auto" w:fill="FFFFFF"/>
        <w:spacing w:after="150"/>
        <w:rPr>
          <w:rStyle w:val="Fett"/>
          <w:rFonts w:ascii="Arial" w:hAnsi="Arial" w:cs="Arial"/>
          <w:color w:val="000000"/>
          <w:sz w:val="22"/>
          <w:szCs w:val="22"/>
        </w:rPr>
      </w:pPr>
      <w:r>
        <w:rPr>
          <w:rStyle w:val="Fett"/>
          <w:rFonts w:ascii="Arial" w:hAnsi="Arial" w:cs="Arial"/>
          <w:color w:val="000000"/>
          <w:sz w:val="22"/>
          <w:szCs w:val="22"/>
        </w:rPr>
        <w:t>Third consecutive quarter with exceptional growth</w:t>
      </w:r>
    </w:p>
    <w:p w14:paraId="059A7BB1" w14:textId="77777777" w:rsidR="00225BCC" w:rsidRDefault="00225BCC" w:rsidP="00225BCC">
      <w:pPr>
        <w:pStyle w:val="StandardWeb"/>
        <w:numPr>
          <w:ilvl w:val="0"/>
          <w:numId w:val="21"/>
        </w:numPr>
        <w:shd w:val="clear" w:color="auto" w:fill="FFFFFF"/>
        <w:spacing w:after="150"/>
        <w:rPr>
          <w:rStyle w:val="Fett"/>
          <w:rFonts w:ascii="Arial" w:hAnsi="Arial" w:cs="Arial"/>
          <w:color w:val="000000"/>
          <w:sz w:val="22"/>
          <w:szCs w:val="22"/>
        </w:rPr>
      </w:pPr>
      <w:r>
        <w:rPr>
          <w:rStyle w:val="Fett"/>
          <w:rFonts w:ascii="Arial" w:hAnsi="Arial" w:cs="Arial"/>
          <w:color w:val="000000"/>
          <w:sz w:val="22"/>
          <w:szCs w:val="22"/>
        </w:rPr>
        <w:t>78% in year-over-year increase to 2019’s Q3</w:t>
      </w:r>
    </w:p>
    <w:p w14:paraId="1287E64F" w14:textId="77777777" w:rsidR="00225BCC" w:rsidRDefault="00225BCC" w:rsidP="00225BCC">
      <w:pPr>
        <w:pStyle w:val="StandardWeb"/>
        <w:numPr>
          <w:ilvl w:val="0"/>
          <w:numId w:val="21"/>
        </w:numPr>
        <w:shd w:val="clear" w:color="auto" w:fill="FFFFFF"/>
        <w:spacing w:after="150"/>
        <w:rPr>
          <w:rStyle w:val="Fett"/>
          <w:rFonts w:ascii="Arial" w:hAnsi="Arial" w:cs="Arial"/>
          <w:color w:val="000000"/>
          <w:sz w:val="22"/>
          <w:szCs w:val="22"/>
        </w:rPr>
      </w:pPr>
      <w:r>
        <w:rPr>
          <w:rStyle w:val="Fett"/>
          <w:rFonts w:ascii="Arial" w:hAnsi="Arial" w:cs="Arial"/>
          <w:color w:val="000000"/>
          <w:sz w:val="22"/>
          <w:szCs w:val="22"/>
        </w:rPr>
        <w:t>Practically doubled sales numbers in September (YoY)</w:t>
      </w:r>
    </w:p>
    <w:p w14:paraId="029B103D" w14:textId="77777777" w:rsidR="00225BCC" w:rsidRDefault="00225BCC" w:rsidP="00225BCC">
      <w:pPr>
        <w:pStyle w:val="StandardWeb"/>
        <w:numPr>
          <w:ilvl w:val="0"/>
          <w:numId w:val="21"/>
        </w:numPr>
        <w:shd w:val="clear" w:color="auto" w:fill="FFFFFF"/>
        <w:spacing w:after="150"/>
        <w:rPr>
          <w:rStyle w:val="Fett"/>
          <w:rFonts w:ascii="Arial" w:hAnsi="Arial" w:cs="Arial"/>
          <w:b w:val="0"/>
          <w:bCs w:val="0"/>
        </w:rPr>
      </w:pPr>
      <w:r>
        <w:rPr>
          <w:rStyle w:val="Fett"/>
          <w:rFonts w:ascii="Arial" w:hAnsi="Arial" w:cs="Arial"/>
          <w:color w:val="000000"/>
          <w:sz w:val="22"/>
          <w:szCs w:val="22"/>
        </w:rPr>
        <w:t>Proof for future success of American vehicles in Europe</w:t>
      </w:r>
    </w:p>
    <w:p w14:paraId="1AD92B7F" w14:textId="77777777" w:rsidR="009475B2" w:rsidRDefault="009475B2" w:rsidP="00805851">
      <w:pPr>
        <w:rPr>
          <w:rFonts w:ascii="Arial" w:hAnsi="Arial" w:cs="Arial"/>
          <w:b/>
          <w:bCs/>
          <w:lang w:val="en-CA"/>
        </w:rPr>
      </w:pPr>
    </w:p>
    <w:p w14:paraId="5C126B83" w14:textId="77777777" w:rsidR="00225BCC" w:rsidRDefault="00225BCC" w:rsidP="00225BCC">
      <w:pPr>
        <w:spacing w:line="276" w:lineRule="auto"/>
        <w:rPr>
          <w:rFonts w:ascii="Arial" w:hAnsi="Arial" w:cs="Arial"/>
          <w:lang w:val="en-US"/>
        </w:rPr>
      </w:pPr>
      <w:r>
        <w:rPr>
          <w:rFonts w:ascii="Arial" w:hAnsi="Arial" w:cs="Arial"/>
          <w:lang w:val="en-US"/>
        </w:rPr>
        <w:t>AEC, the official importer of the FCA brands Dodge and RAM, has been repeatedly reporting new volume milestones this year. Following all-time-high sales volumes in the first half-year of 2020, AEC exceeds its targets once again with record 3</w:t>
      </w:r>
      <w:r>
        <w:rPr>
          <w:rFonts w:ascii="Arial" w:hAnsi="Arial" w:cs="Arial"/>
          <w:vertAlign w:val="superscript"/>
          <w:lang w:val="en-US"/>
        </w:rPr>
        <w:t>rd</w:t>
      </w:r>
      <w:r>
        <w:rPr>
          <w:rFonts w:ascii="Arial" w:hAnsi="Arial" w:cs="Arial"/>
          <w:lang w:val="en-US"/>
        </w:rPr>
        <w:t xml:space="preserve"> quarter sales, manifesting its current winning streak by almost doubling the monthly sales compared to the previous year.</w:t>
      </w:r>
    </w:p>
    <w:p w14:paraId="49B37028" w14:textId="1B506E22" w:rsidR="00225BCC" w:rsidRDefault="00225BCC" w:rsidP="00225BCC">
      <w:pPr>
        <w:spacing w:line="276" w:lineRule="auto"/>
        <w:rPr>
          <w:rFonts w:ascii="Arial" w:hAnsi="Arial" w:cs="Arial"/>
          <w:lang w:val="en-US"/>
        </w:rPr>
      </w:pPr>
      <w:r>
        <w:rPr>
          <w:rFonts w:ascii="Arial" w:hAnsi="Arial" w:cs="Arial"/>
          <w:lang w:val="en-US"/>
        </w:rPr>
        <w:lastRenderedPageBreak/>
        <w:t>When compared to 2019’s Q3, the numbers show a 78% jump in vehicle sales for the same period. On a monthly basis, Q3 2020 has a year-over-year increase of +57,8% in July, +74,7% in August, and a whopping +99% in September – effectively twice the number of vehicles. AEC sees their unique competencies reaching from product planning all the way to their after-sales department as a reason for their success.</w:t>
      </w:r>
    </w:p>
    <w:p w14:paraId="779DC4F9" w14:textId="77777777" w:rsidR="00225BCC" w:rsidRDefault="00225BCC" w:rsidP="00225BCC">
      <w:pPr>
        <w:spacing w:line="276" w:lineRule="auto"/>
        <w:rPr>
          <w:rFonts w:ascii="Arial" w:hAnsi="Arial" w:cs="Arial"/>
          <w:lang w:val="en-US"/>
        </w:rPr>
      </w:pPr>
    </w:p>
    <w:p w14:paraId="03E29A22" w14:textId="77777777" w:rsidR="00225BCC" w:rsidRDefault="00225BCC" w:rsidP="00225BCC">
      <w:pPr>
        <w:spacing w:line="276" w:lineRule="auto"/>
        <w:rPr>
          <w:rFonts w:ascii="Arial" w:hAnsi="Arial" w:cs="Arial"/>
          <w:i/>
          <w:iCs/>
          <w:lang w:val="en-US"/>
        </w:rPr>
      </w:pPr>
      <w:r>
        <w:rPr>
          <w:rFonts w:ascii="Arial" w:hAnsi="Arial" w:cs="Arial"/>
          <w:i/>
          <w:iCs/>
          <w:lang w:val="en-US"/>
        </w:rPr>
        <w:t>“Since we were officially licensed as an importer for Dodge and RAM vehicles by FCA in 2011, we have achieved steady progress every year. By consistently re-investing our gains and – of course – through the great performance of our team, we’re making these jumps bigger each year.”</w:t>
      </w:r>
    </w:p>
    <w:p w14:paraId="273FB789" w14:textId="7A9A6E41" w:rsidR="00225BCC" w:rsidRDefault="00225BCC" w:rsidP="00225BCC">
      <w:pPr>
        <w:spacing w:line="276" w:lineRule="auto"/>
        <w:rPr>
          <w:rFonts w:ascii="Arial" w:hAnsi="Arial" w:cs="Arial"/>
          <w:lang w:val="en-US"/>
        </w:rPr>
      </w:pPr>
      <w:r>
        <w:rPr>
          <w:rFonts w:ascii="Arial" w:hAnsi="Arial" w:cs="Arial"/>
          <w:lang w:val="en-US"/>
        </w:rPr>
        <w:t>says Mike Tsesmelis, International Sales Director at AEC.</w:t>
      </w:r>
    </w:p>
    <w:p w14:paraId="11849FBD" w14:textId="77777777" w:rsidR="00225BCC" w:rsidRDefault="00225BCC" w:rsidP="00225BCC">
      <w:pPr>
        <w:spacing w:line="276" w:lineRule="auto"/>
        <w:rPr>
          <w:rFonts w:ascii="Arial" w:hAnsi="Arial" w:cs="Arial"/>
          <w:lang w:val="en-US"/>
        </w:rPr>
      </w:pPr>
    </w:p>
    <w:p w14:paraId="5270CA8D" w14:textId="27F0CD55" w:rsidR="00225BCC" w:rsidRDefault="00225BCC" w:rsidP="00225BCC">
      <w:pPr>
        <w:spacing w:line="276" w:lineRule="auto"/>
        <w:rPr>
          <w:rFonts w:ascii="Arial" w:hAnsi="Arial" w:cs="Arial"/>
          <w:i/>
          <w:iCs/>
          <w:lang w:val="en-US"/>
        </w:rPr>
      </w:pPr>
      <w:r>
        <w:rPr>
          <w:rFonts w:ascii="Arial" w:hAnsi="Arial" w:cs="Arial"/>
          <w:i/>
          <w:iCs/>
          <w:lang w:val="en-US"/>
        </w:rPr>
        <w:t xml:space="preserve">“These amazing results are not just proof for the current and future success of our company, but also for the continued steady demand for American vehicles in Europe. With this trend, as well as our highly flexible approach to niche markets, AEC can cater to the same needs of other OEMs for future </w:t>
      </w:r>
      <w:proofErr w:type="spellStart"/>
      <w:r>
        <w:rPr>
          <w:rFonts w:ascii="Arial" w:hAnsi="Arial" w:cs="Arial"/>
          <w:i/>
          <w:iCs/>
          <w:lang w:val="en-US"/>
        </w:rPr>
        <w:t>cooperations</w:t>
      </w:r>
      <w:proofErr w:type="spellEnd"/>
      <w:r>
        <w:rPr>
          <w:rFonts w:ascii="Arial" w:hAnsi="Arial" w:cs="Arial"/>
          <w:i/>
          <w:iCs/>
          <w:lang w:val="en-US"/>
        </w:rPr>
        <w:t>.”</w:t>
      </w:r>
    </w:p>
    <w:p w14:paraId="5C020E25" w14:textId="77777777" w:rsidR="00225BCC" w:rsidRDefault="00225BCC" w:rsidP="00225BCC">
      <w:pPr>
        <w:spacing w:line="276" w:lineRule="auto"/>
        <w:rPr>
          <w:rFonts w:ascii="Arial" w:hAnsi="Arial" w:cs="Arial"/>
          <w:i/>
          <w:iCs/>
          <w:lang w:val="en-US"/>
        </w:rPr>
      </w:pPr>
    </w:p>
    <w:p w14:paraId="4C175D83" w14:textId="77777777" w:rsidR="00225BCC" w:rsidRDefault="00225BCC" w:rsidP="00225BCC">
      <w:pPr>
        <w:spacing w:line="276" w:lineRule="auto"/>
        <w:rPr>
          <w:rFonts w:ascii="Arial" w:hAnsi="Arial" w:cs="Arial"/>
          <w:lang w:val="en-US"/>
        </w:rPr>
      </w:pPr>
      <w:r>
        <w:rPr>
          <w:rFonts w:ascii="Arial" w:hAnsi="Arial" w:cs="Arial"/>
          <w:lang w:val="en-US"/>
        </w:rPr>
        <w:t xml:space="preserve">The Munich-based importer also emphasizes that the highly successful first half-year of 2020 was almost entirely accomplished under the premises of social distancing and work from home due to Coronavirus. Despite the present recession that virtually affects the entire automotive industry, AEC is looking forward to further growth </w:t>
      </w:r>
      <w:proofErr w:type="gramStart"/>
      <w:r>
        <w:rPr>
          <w:rFonts w:ascii="Arial" w:hAnsi="Arial" w:cs="Arial"/>
          <w:lang w:val="en-US"/>
        </w:rPr>
        <w:t>in the near future</w:t>
      </w:r>
      <w:proofErr w:type="gramEnd"/>
      <w:r>
        <w:rPr>
          <w:rFonts w:ascii="Arial" w:hAnsi="Arial" w:cs="Arial"/>
          <w:lang w:val="en-US"/>
        </w:rPr>
        <w:t>.</w:t>
      </w:r>
    </w:p>
    <w:p w14:paraId="347B152E" w14:textId="241BD7DD" w:rsidR="009475B2" w:rsidRPr="00225BCC" w:rsidRDefault="009475B2" w:rsidP="009475B2">
      <w:pPr>
        <w:rPr>
          <w:lang w:val="en-US"/>
        </w:rPr>
      </w:pPr>
    </w:p>
    <w:p w14:paraId="5B3507F5" w14:textId="77777777" w:rsidR="00225BCC" w:rsidRPr="009475B2" w:rsidRDefault="00225BCC" w:rsidP="009475B2">
      <w:pPr>
        <w:rPr>
          <w:rFonts w:ascii="Arial" w:eastAsia="Times New Roman" w:hAnsi="Arial" w:cs="Arial"/>
          <w:color w:val="000000"/>
          <w:lang w:val="en-US" w:eastAsia="de-DE"/>
        </w:rPr>
      </w:pPr>
    </w:p>
    <w:p w14:paraId="3A57C70B" w14:textId="77777777" w:rsidR="009475B2" w:rsidRPr="004C381B" w:rsidRDefault="009475B2" w:rsidP="009475B2">
      <w:pPr>
        <w:rPr>
          <w:rFonts w:ascii="Arial" w:eastAsia="Times New Roman" w:hAnsi="Arial" w:cs="Arial"/>
          <w:color w:val="FF0000"/>
          <w:sz w:val="28"/>
          <w:szCs w:val="28"/>
          <w:lang w:val="en-US" w:eastAsia="de-DE"/>
        </w:rPr>
      </w:pPr>
      <w:r w:rsidRPr="004C381B">
        <w:rPr>
          <w:rFonts w:ascii="Arial" w:eastAsia="Times New Roman" w:hAnsi="Arial" w:cs="Arial"/>
          <w:color w:val="FF0000"/>
          <w:sz w:val="28"/>
          <w:szCs w:val="28"/>
          <w:lang w:val="en-US" w:eastAsia="de-DE"/>
        </w:rPr>
        <w:t>About Auto Export Corporation (AEC)</w:t>
      </w:r>
    </w:p>
    <w:p w14:paraId="547BBE65" w14:textId="77777777" w:rsidR="009475B2" w:rsidRPr="009475B2" w:rsidRDefault="009475B2" w:rsidP="009475B2">
      <w:pPr>
        <w:rPr>
          <w:rFonts w:ascii="Arial" w:eastAsia="Times New Roman" w:hAnsi="Arial" w:cs="Arial"/>
          <w:color w:val="000000"/>
          <w:lang w:val="en-US" w:eastAsia="de-DE"/>
        </w:rPr>
      </w:pPr>
    </w:p>
    <w:p w14:paraId="2A441AE2" w14:textId="77777777" w:rsidR="009475B2" w:rsidRPr="009475B2" w:rsidRDefault="009475B2" w:rsidP="009475B2">
      <w:pPr>
        <w:rPr>
          <w:rFonts w:ascii="Arial" w:eastAsia="Times New Roman" w:hAnsi="Arial" w:cs="Arial"/>
          <w:color w:val="000000"/>
          <w:lang w:val="en-US" w:eastAsia="de-DE"/>
        </w:rPr>
      </w:pPr>
      <w:r w:rsidRPr="009475B2">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FCA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services.  AEC has local operations and facilities in its focus markets in NAFTA, EMEA, and APAC. Customers turn to AEC for its reliable solutions and existing infrastructure that includes a vast contractual network of retail dealerships and critical partners in the automotive industry. </w:t>
      </w:r>
    </w:p>
    <w:p w14:paraId="11C8230D" w14:textId="77777777" w:rsidR="009475B2" w:rsidRPr="009475B2" w:rsidRDefault="009475B2" w:rsidP="009475B2">
      <w:pPr>
        <w:rPr>
          <w:rFonts w:ascii="Arial" w:eastAsia="Times New Roman" w:hAnsi="Arial" w:cs="Arial"/>
          <w:color w:val="000000"/>
          <w:lang w:val="en-US" w:eastAsia="de-DE"/>
        </w:rPr>
      </w:pPr>
    </w:p>
    <w:p w14:paraId="45F5601F" w14:textId="77777777" w:rsidR="009475B2" w:rsidRPr="009475B2" w:rsidRDefault="009475B2" w:rsidP="009475B2">
      <w:pPr>
        <w:rPr>
          <w:rFonts w:ascii="Arial" w:eastAsia="Times New Roman" w:hAnsi="Arial" w:cs="Arial"/>
          <w:color w:val="FF0000"/>
          <w:sz w:val="28"/>
          <w:szCs w:val="28"/>
          <w:lang w:val="en-US" w:eastAsia="de-DE"/>
        </w:rPr>
      </w:pPr>
      <w:r w:rsidRPr="009475B2">
        <w:rPr>
          <w:rFonts w:ascii="Arial" w:eastAsia="Times New Roman" w:hAnsi="Arial" w:cs="Arial"/>
          <w:color w:val="FF0000"/>
          <w:sz w:val="28"/>
          <w:szCs w:val="28"/>
          <w:lang w:val="en-US" w:eastAsia="de-DE"/>
        </w:rPr>
        <w:t xml:space="preserve">About AEC Europe – an Auto Export Corporation (AEC) Subsidiary </w:t>
      </w:r>
    </w:p>
    <w:p w14:paraId="71755A27" w14:textId="77777777" w:rsidR="009475B2" w:rsidRPr="009475B2" w:rsidRDefault="009475B2" w:rsidP="009475B2">
      <w:pPr>
        <w:rPr>
          <w:rFonts w:ascii="Arial" w:eastAsia="Times New Roman" w:hAnsi="Arial" w:cs="Arial"/>
          <w:color w:val="000000"/>
          <w:lang w:val="en-US" w:eastAsia="de-DE"/>
        </w:rPr>
      </w:pPr>
    </w:p>
    <w:p w14:paraId="56DBD60F" w14:textId="3E1082A7" w:rsidR="007E7A09" w:rsidRPr="00943353" w:rsidRDefault="009475B2" w:rsidP="009475B2">
      <w:pPr>
        <w:rPr>
          <w:rFonts w:ascii="Arial" w:eastAsia="Times New Roman" w:hAnsi="Arial" w:cs="Arial"/>
          <w:lang w:val="en-US" w:eastAsia="de-DE"/>
        </w:rPr>
      </w:pPr>
      <w:r w:rsidRPr="009475B2">
        <w:rPr>
          <w:rFonts w:ascii="Arial" w:eastAsia="Times New Roman" w:hAnsi="Arial" w:cs="Arial"/>
          <w:color w:val="000000"/>
          <w:lang w:val="en-US" w:eastAsia="de-DE"/>
        </w:rPr>
        <w:t>As an official importer of the Fiat Chrysler (FCA) Dodge &amp; RAM branded vehicles and parts in Europe, AEC Europe is responsible for the distribution and retail network development of the American brands. Over 125 European AEC dealers were officially appointed and authorized by the manufacturer. The service portfolio of the importer towards its network includes market homologation, warranty, parts, recall administration as well as financial services but also certification and training.</w:t>
      </w:r>
    </w:p>
    <w:sectPr w:rsidR="007E7A09" w:rsidRPr="00943353" w:rsidSect="00AF1898">
      <w:headerReference w:type="default" r:id="rId9"/>
      <w:footerReference w:type="default" r:id="rId10"/>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CD0CE" w14:textId="77777777" w:rsidR="007F5FCF" w:rsidRDefault="007F5FCF" w:rsidP="00656C4B">
      <w:r>
        <w:separator/>
      </w:r>
    </w:p>
  </w:endnote>
  <w:endnote w:type="continuationSeparator" w:id="0">
    <w:p w14:paraId="368FA414" w14:textId="77777777" w:rsidR="007F5FCF" w:rsidRDefault="007F5FCF" w:rsidP="00656C4B">
      <w:r>
        <w:continuationSeparator/>
      </w:r>
    </w:p>
  </w:endnote>
  <w:endnote w:type="continuationNotice" w:id="1">
    <w:p w14:paraId="0996AE77" w14:textId="77777777" w:rsidR="007F5FCF" w:rsidRDefault="007F5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xo 2.0 Thin">
    <w:altName w:val="Calibri"/>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2"/>
      <w:gridCol w:w="2693"/>
      <w:gridCol w:w="2698"/>
    </w:tblGrid>
    <w:tr w:rsidR="00E7232C" w:rsidRPr="006D7201" w14:paraId="4E68EF53" w14:textId="77777777" w:rsidTr="00A47969">
      <w:trPr>
        <w:trHeight w:val="416"/>
      </w:trPr>
      <w:tc>
        <w:tcPr>
          <w:tcW w:w="2269" w:type="dxa"/>
        </w:tcPr>
        <w:p w14:paraId="0C758744" w14:textId="711DE910"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 xml:space="preserve">St. </w:t>
          </w:r>
          <w:proofErr w:type="spellStart"/>
          <w:r w:rsidRPr="00D2246E">
            <w:rPr>
              <w:rFonts w:ascii="Arial" w:hAnsi="Arial" w:cs="Arial"/>
              <w:sz w:val="18"/>
              <w:szCs w:val="18"/>
              <w:lang w:val="en-US"/>
            </w:rPr>
            <w:t>Catharines</w:t>
          </w:r>
          <w:proofErr w:type="spellEnd"/>
        </w:p>
        <w:p w14:paraId="2036D1FA" w14:textId="63EDDA5B"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552" w:type="dxa"/>
        </w:tcPr>
        <w:p w14:paraId="51A115D8" w14:textId="77777777" w:rsidR="00E7232C" w:rsidRPr="00D2246E" w:rsidRDefault="00E7232C">
          <w:pPr>
            <w:pStyle w:val="Fuzeile"/>
            <w:rPr>
              <w:rFonts w:ascii="Arial" w:hAnsi="Arial" w:cs="Arial"/>
              <w:sz w:val="18"/>
              <w:szCs w:val="18"/>
            </w:rPr>
          </w:pPr>
          <w:r w:rsidRPr="00D2246E">
            <w:rPr>
              <w:rFonts w:ascii="Arial" w:hAnsi="Arial" w:cs="Arial"/>
              <w:sz w:val="18"/>
              <w:szCs w:val="18"/>
            </w:rPr>
            <w:t>AEC Europe GmbH</w:t>
          </w:r>
        </w:p>
        <w:p w14:paraId="67A0FF56" w14:textId="77777777" w:rsidR="00E7232C" w:rsidRPr="00D2246E" w:rsidRDefault="00E7232C">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E7232C" w:rsidRPr="00D2246E" w:rsidRDefault="00E7232C">
          <w:pPr>
            <w:pStyle w:val="Fuzeile"/>
            <w:rPr>
              <w:rFonts w:ascii="Arial" w:hAnsi="Arial" w:cs="Arial"/>
              <w:sz w:val="18"/>
              <w:szCs w:val="18"/>
            </w:rPr>
          </w:pPr>
          <w:r w:rsidRPr="00D2246E">
            <w:rPr>
              <w:rFonts w:ascii="Arial" w:hAnsi="Arial" w:cs="Arial"/>
              <w:sz w:val="18"/>
              <w:szCs w:val="18"/>
            </w:rPr>
            <w:t>AEC Port VPC</w:t>
          </w:r>
        </w:p>
        <w:p w14:paraId="3222BEE1" w14:textId="77777777"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Haandorpweg</w:t>
          </w:r>
          <w:proofErr w:type="spellEnd"/>
          <w:r w:rsidRPr="00D2246E">
            <w:rPr>
              <w:rFonts w:ascii="Arial" w:hAnsi="Arial" w:cs="Arial"/>
              <w:sz w:val="18"/>
              <w:szCs w:val="18"/>
            </w:rPr>
            <w:t xml:space="preserve"> 2, </w:t>
          </w:r>
        </w:p>
        <w:p w14:paraId="59D3C691" w14:textId="4B715ED5" w:rsidR="00E7232C" w:rsidRPr="00D2246E" w:rsidRDefault="00E7232C">
          <w:pPr>
            <w:pStyle w:val="Fuzeile"/>
            <w:rPr>
              <w:rFonts w:ascii="Arial" w:hAnsi="Arial" w:cs="Arial"/>
              <w:sz w:val="18"/>
              <w:szCs w:val="18"/>
            </w:rPr>
          </w:pPr>
          <w:r w:rsidRPr="00D2246E">
            <w:rPr>
              <w:rFonts w:ascii="Arial" w:hAnsi="Arial" w:cs="Arial"/>
              <w:sz w:val="18"/>
              <w:szCs w:val="18"/>
            </w:rPr>
            <w:t xml:space="preserve">9130 </w:t>
          </w:r>
          <w:proofErr w:type="spellStart"/>
          <w:r w:rsidRPr="00D2246E">
            <w:rPr>
              <w:rFonts w:ascii="Arial" w:hAnsi="Arial" w:cs="Arial"/>
              <w:sz w:val="18"/>
              <w:szCs w:val="18"/>
            </w:rPr>
            <w:t>Kallo</w:t>
          </w:r>
          <w:proofErr w:type="spellEnd"/>
          <w:r w:rsidRPr="00D2246E">
            <w:rPr>
              <w:rFonts w:ascii="Arial" w:hAnsi="Arial" w:cs="Arial"/>
              <w:sz w:val="18"/>
              <w:szCs w:val="18"/>
            </w:rPr>
            <w:t xml:space="preserve">, </w:t>
          </w:r>
          <w:proofErr w:type="spellStart"/>
          <w:r w:rsidRPr="00D2246E">
            <w:rPr>
              <w:rFonts w:ascii="Arial" w:hAnsi="Arial" w:cs="Arial"/>
              <w:sz w:val="18"/>
              <w:szCs w:val="18"/>
            </w:rPr>
            <w:t>Antwerp</w:t>
          </w:r>
          <w:proofErr w:type="spellEnd"/>
        </w:p>
        <w:p w14:paraId="58CF5121" w14:textId="31D1D48C"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Belgium</w:t>
          </w:r>
          <w:proofErr w:type="spellEnd"/>
        </w:p>
      </w:tc>
      <w:tc>
        <w:tcPr>
          <w:tcW w:w="2698" w:type="dxa"/>
        </w:tcPr>
        <w:p w14:paraId="75978C7B" w14:textId="32D50CF0"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E7232C" w:rsidRPr="00D2246E" w:rsidRDefault="00E7232C" w:rsidP="009E38BB">
          <w:pPr>
            <w:pStyle w:val="Fuzeile"/>
            <w:rPr>
              <w:rFonts w:ascii="Arial" w:hAnsi="Arial" w:cs="Arial"/>
              <w:sz w:val="18"/>
              <w:szCs w:val="18"/>
              <w:lang w:val="en-US"/>
            </w:rPr>
          </w:pPr>
        </w:p>
        <w:p w14:paraId="5C897F3B" w14:textId="77777777"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Miriam Makrewitz</w:t>
          </w:r>
        </w:p>
        <w:p w14:paraId="38DB4167" w14:textId="697717C6" w:rsidR="00E7232C" w:rsidRPr="00D2246E" w:rsidRDefault="00E7232C" w:rsidP="009E38BB">
          <w:pPr>
            <w:pStyle w:val="Fuzeile"/>
            <w:rPr>
              <w:rFonts w:ascii="Arial" w:hAnsi="Arial" w:cs="Arial"/>
              <w:sz w:val="14"/>
              <w:szCs w:val="14"/>
              <w:lang w:val="en-US"/>
            </w:rPr>
          </w:pPr>
          <w:r w:rsidRPr="00D2246E">
            <w:rPr>
              <w:rFonts w:ascii="Arial" w:hAnsi="Arial" w:cs="Arial"/>
              <w:sz w:val="18"/>
              <w:szCs w:val="18"/>
              <w:lang w:val="en-US"/>
            </w:rPr>
            <w:t>m.makrewitz@aeceurope.com</w:t>
          </w:r>
        </w:p>
      </w:tc>
    </w:tr>
  </w:tbl>
  <w:p w14:paraId="2AB22B01" w14:textId="77777777" w:rsidR="00E7232C" w:rsidRPr="00F87207" w:rsidRDefault="00E7232C" w:rsidP="00F73516">
    <w:pPr>
      <w:pStyle w:val="Fuzeile"/>
      <w:tabs>
        <w:tab w:val="clear" w:pos="4536"/>
        <w:tab w:val="clear" w:pos="9072"/>
        <w:tab w:val="left" w:pos="3735"/>
      </w:tabs>
      <w:rPr>
        <w:lang w:val="en-US"/>
      </w:rPr>
    </w:pPr>
    <w:r w:rsidRPr="00F8720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64A08" w14:textId="77777777" w:rsidR="007F5FCF" w:rsidRDefault="007F5FCF" w:rsidP="00656C4B">
      <w:r>
        <w:separator/>
      </w:r>
    </w:p>
  </w:footnote>
  <w:footnote w:type="continuationSeparator" w:id="0">
    <w:p w14:paraId="19290F86" w14:textId="77777777" w:rsidR="007F5FCF" w:rsidRDefault="007F5FCF" w:rsidP="00656C4B">
      <w:r>
        <w:continuationSeparator/>
      </w:r>
    </w:p>
  </w:footnote>
  <w:footnote w:type="continuationNotice" w:id="1">
    <w:p w14:paraId="187F223D" w14:textId="77777777" w:rsidR="007F5FCF" w:rsidRDefault="007F5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BB81" w14:textId="3839E7CF" w:rsidR="00E7232C" w:rsidRDefault="00E7232C" w:rsidP="00E44193">
    <w:pPr>
      <w:pStyle w:val="Kopfzeile"/>
      <w:ind w:left="-283"/>
    </w:pPr>
    <w:r>
      <w:rPr>
        <w:noProof/>
      </w:rPr>
      <w:drawing>
        <wp:anchor distT="0" distB="0" distL="114300" distR="114300" simplePos="0" relativeHeight="251658240"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E7232C" w:rsidRDefault="00E7232C">
    <w:pPr>
      <w:pStyle w:val="Kopfzeile"/>
    </w:pPr>
  </w:p>
  <w:p w14:paraId="632CBA9A" w14:textId="77777777" w:rsidR="00E7232C" w:rsidRDefault="00E7232C">
    <w:pPr>
      <w:pStyle w:val="Kopfzeile"/>
    </w:pPr>
  </w:p>
  <w:p w14:paraId="45FF7FC9" w14:textId="77777777" w:rsidR="00E7232C" w:rsidRDefault="00E7232C" w:rsidP="00740932">
    <w:pPr>
      <w:pStyle w:val="Kopfzeile"/>
      <w:rPr>
        <w:rFonts w:cs="Arial"/>
        <w:sz w:val="16"/>
      </w:rPr>
    </w:pPr>
  </w:p>
  <w:p w14:paraId="75D613B0" w14:textId="77777777" w:rsidR="00E7232C" w:rsidRDefault="00E7232C" w:rsidP="00740932">
    <w:pPr>
      <w:pStyle w:val="Kopfzeile"/>
      <w:rPr>
        <w:rFonts w:cs="Arial"/>
        <w:sz w:val="16"/>
      </w:rPr>
    </w:pPr>
  </w:p>
  <w:p w14:paraId="1EA147FB" w14:textId="77777777" w:rsidR="00E7232C" w:rsidRPr="0092776D" w:rsidRDefault="00E7232C" w:rsidP="00D903F0">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E90E90"/>
    <w:multiLevelType w:val="hybridMultilevel"/>
    <w:tmpl w:val="59D22286"/>
    <w:lvl w:ilvl="0" w:tplc="788AB222">
      <w:numFmt w:val="bullet"/>
      <w:lvlText w:val="-"/>
      <w:lvlJc w:val="left"/>
      <w:pPr>
        <w:ind w:left="1068" w:hanging="360"/>
      </w:pPr>
      <w:rPr>
        <w:rFonts w:ascii="Arial" w:eastAsia="Times New Roman"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3"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6"/>
  </w:num>
  <w:num w:numId="6">
    <w:abstractNumId w:val="13"/>
  </w:num>
  <w:num w:numId="7">
    <w:abstractNumId w:val="9"/>
  </w:num>
  <w:num w:numId="8">
    <w:abstractNumId w:val="17"/>
  </w:num>
  <w:num w:numId="9">
    <w:abstractNumId w:val="7"/>
  </w:num>
  <w:num w:numId="10">
    <w:abstractNumId w:val="18"/>
  </w:num>
  <w:num w:numId="11">
    <w:abstractNumId w:val="11"/>
  </w:num>
  <w:num w:numId="12">
    <w:abstractNumId w:val="8"/>
  </w:num>
  <w:num w:numId="13">
    <w:abstractNumId w:val="0"/>
  </w:num>
  <w:num w:numId="14">
    <w:abstractNumId w:val="14"/>
  </w:num>
  <w:num w:numId="15">
    <w:abstractNumId w:val="6"/>
  </w:num>
  <w:num w:numId="16">
    <w:abstractNumId w:val="1"/>
  </w:num>
  <w:num w:numId="17">
    <w:abstractNumId w:val="12"/>
  </w:num>
  <w:num w:numId="18">
    <w:abstractNumId w:val="5"/>
  </w:num>
  <w:num w:numId="19">
    <w:abstractNumId w:val="10"/>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13A97"/>
    <w:rsid w:val="00013E6E"/>
    <w:rsid w:val="000211F2"/>
    <w:rsid w:val="00023852"/>
    <w:rsid w:val="0003067E"/>
    <w:rsid w:val="0003363B"/>
    <w:rsid w:val="00041E68"/>
    <w:rsid w:val="00042F2E"/>
    <w:rsid w:val="00043FA6"/>
    <w:rsid w:val="0004752C"/>
    <w:rsid w:val="00051727"/>
    <w:rsid w:val="00055B5C"/>
    <w:rsid w:val="0006564A"/>
    <w:rsid w:val="00065F73"/>
    <w:rsid w:val="000740EE"/>
    <w:rsid w:val="000766F4"/>
    <w:rsid w:val="00084CEE"/>
    <w:rsid w:val="0009269B"/>
    <w:rsid w:val="00092C72"/>
    <w:rsid w:val="000934DA"/>
    <w:rsid w:val="000946C9"/>
    <w:rsid w:val="0009474E"/>
    <w:rsid w:val="00094A7C"/>
    <w:rsid w:val="000A2CB1"/>
    <w:rsid w:val="000A3A1B"/>
    <w:rsid w:val="000C5CDB"/>
    <w:rsid w:val="000D0206"/>
    <w:rsid w:val="000D2198"/>
    <w:rsid w:val="000D2743"/>
    <w:rsid w:val="000E2192"/>
    <w:rsid w:val="000E681C"/>
    <w:rsid w:val="000F725D"/>
    <w:rsid w:val="001018FC"/>
    <w:rsid w:val="0010421E"/>
    <w:rsid w:val="00116617"/>
    <w:rsid w:val="00116D47"/>
    <w:rsid w:val="00123663"/>
    <w:rsid w:val="0014022C"/>
    <w:rsid w:val="00140EC2"/>
    <w:rsid w:val="001510D6"/>
    <w:rsid w:val="00154ED5"/>
    <w:rsid w:val="00160E40"/>
    <w:rsid w:val="00166E27"/>
    <w:rsid w:val="00170853"/>
    <w:rsid w:val="0017246A"/>
    <w:rsid w:val="00172569"/>
    <w:rsid w:val="00176286"/>
    <w:rsid w:val="001902A5"/>
    <w:rsid w:val="001A039F"/>
    <w:rsid w:val="001A0882"/>
    <w:rsid w:val="001A0EB8"/>
    <w:rsid w:val="001A48E5"/>
    <w:rsid w:val="001A576C"/>
    <w:rsid w:val="001B0481"/>
    <w:rsid w:val="001B52CF"/>
    <w:rsid w:val="001B6F28"/>
    <w:rsid w:val="001C28F2"/>
    <w:rsid w:val="001D19A4"/>
    <w:rsid w:val="001D2E66"/>
    <w:rsid w:val="001D713D"/>
    <w:rsid w:val="001E3702"/>
    <w:rsid w:val="001F2950"/>
    <w:rsid w:val="001F354F"/>
    <w:rsid w:val="001F3E57"/>
    <w:rsid w:val="001F4ECE"/>
    <w:rsid w:val="001F7247"/>
    <w:rsid w:val="0022177B"/>
    <w:rsid w:val="00225BCC"/>
    <w:rsid w:val="00230119"/>
    <w:rsid w:val="0024103E"/>
    <w:rsid w:val="00243215"/>
    <w:rsid w:val="00245212"/>
    <w:rsid w:val="00245320"/>
    <w:rsid w:val="00250996"/>
    <w:rsid w:val="00253DC9"/>
    <w:rsid w:val="0025401F"/>
    <w:rsid w:val="0025492E"/>
    <w:rsid w:val="002558D6"/>
    <w:rsid w:val="002615F6"/>
    <w:rsid w:val="002725A4"/>
    <w:rsid w:val="00275E2E"/>
    <w:rsid w:val="00290940"/>
    <w:rsid w:val="00294CF4"/>
    <w:rsid w:val="00297B7D"/>
    <w:rsid w:val="002A3CA2"/>
    <w:rsid w:val="002B7EA1"/>
    <w:rsid w:val="002D0390"/>
    <w:rsid w:val="002D7E78"/>
    <w:rsid w:val="002E2A33"/>
    <w:rsid w:val="002E3EA2"/>
    <w:rsid w:val="002E61DC"/>
    <w:rsid w:val="002E6540"/>
    <w:rsid w:val="002E723C"/>
    <w:rsid w:val="002F25FA"/>
    <w:rsid w:val="002F3895"/>
    <w:rsid w:val="00301628"/>
    <w:rsid w:val="00305898"/>
    <w:rsid w:val="00312731"/>
    <w:rsid w:val="00313103"/>
    <w:rsid w:val="00316E31"/>
    <w:rsid w:val="00316F90"/>
    <w:rsid w:val="00321FE8"/>
    <w:rsid w:val="00330903"/>
    <w:rsid w:val="00330F0C"/>
    <w:rsid w:val="00333C77"/>
    <w:rsid w:val="00335CEB"/>
    <w:rsid w:val="003442AC"/>
    <w:rsid w:val="003625C7"/>
    <w:rsid w:val="00372373"/>
    <w:rsid w:val="00373C6C"/>
    <w:rsid w:val="0037769C"/>
    <w:rsid w:val="00377869"/>
    <w:rsid w:val="0038065C"/>
    <w:rsid w:val="003867AB"/>
    <w:rsid w:val="00395035"/>
    <w:rsid w:val="003A1426"/>
    <w:rsid w:val="003A14F0"/>
    <w:rsid w:val="003A4154"/>
    <w:rsid w:val="003A42D2"/>
    <w:rsid w:val="003A4924"/>
    <w:rsid w:val="003B1F4B"/>
    <w:rsid w:val="003C280A"/>
    <w:rsid w:val="003C544D"/>
    <w:rsid w:val="003C580B"/>
    <w:rsid w:val="003D0140"/>
    <w:rsid w:val="003D5480"/>
    <w:rsid w:val="003D5483"/>
    <w:rsid w:val="003F7151"/>
    <w:rsid w:val="00403335"/>
    <w:rsid w:val="00412034"/>
    <w:rsid w:val="004205CE"/>
    <w:rsid w:val="00422A4A"/>
    <w:rsid w:val="00424AFC"/>
    <w:rsid w:val="0042566C"/>
    <w:rsid w:val="004256BF"/>
    <w:rsid w:val="00431DB0"/>
    <w:rsid w:val="0044469F"/>
    <w:rsid w:val="00451E51"/>
    <w:rsid w:val="00454A22"/>
    <w:rsid w:val="00461A0B"/>
    <w:rsid w:val="0046262B"/>
    <w:rsid w:val="00480B21"/>
    <w:rsid w:val="00483375"/>
    <w:rsid w:val="00484DF0"/>
    <w:rsid w:val="00485DB1"/>
    <w:rsid w:val="0048600C"/>
    <w:rsid w:val="004908D3"/>
    <w:rsid w:val="00493FFB"/>
    <w:rsid w:val="004958A5"/>
    <w:rsid w:val="004A3227"/>
    <w:rsid w:val="004A490C"/>
    <w:rsid w:val="004A525D"/>
    <w:rsid w:val="004A67E2"/>
    <w:rsid w:val="004A7C35"/>
    <w:rsid w:val="004B5E5C"/>
    <w:rsid w:val="004B7156"/>
    <w:rsid w:val="004C381B"/>
    <w:rsid w:val="004C50A0"/>
    <w:rsid w:val="004D6BB6"/>
    <w:rsid w:val="004D6EC6"/>
    <w:rsid w:val="004E1DA1"/>
    <w:rsid w:val="004E2A42"/>
    <w:rsid w:val="004F09D5"/>
    <w:rsid w:val="00500CD8"/>
    <w:rsid w:val="00501893"/>
    <w:rsid w:val="00501B45"/>
    <w:rsid w:val="00505052"/>
    <w:rsid w:val="00505A2A"/>
    <w:rsid w:val="00506281"/>
    <w:rsid w:val="00510F02"/>
    <w:rsid w:val="0051743E"/>
    <w:rsid w:val="00526852"/>
    <w:rsid w:val="005409D6"/>
    <w:rsid w:val="00540FA8"/>
    <w:rsid w:val="00544C6B"/>
    <w:rsid w:val="005457B9"/>
    <w:rsid w:val="00552CBB"/>
    <w:rsid w:val="00553F33"/>
    <w:rsid w:val="00561420"/>
    <w:rsid w:val="005634BF"/>
    <w:rsid w:val="00567860"/>
    <w:rsid w:val="0058576C"/>
    <w:rsid w:val="005A3D20"/>
    <w:rsid w:val="005A4497"/>
    <w:rsid w:val="005A5C2A"/>
    <w:rsid w:val="005B1565"/>
    <w:rsid w:val="005B1BEE"/>
    <w:rsid w:val="005B269E"/>
    <w:rsid w:val="005B56E4"/>
    <w:rsid w:val="005C3ABE"/>
    <w:rsid w:val="005C7D68"/>
    <w:rsid w:val="005D3F81"/>
    <w:rsid w:val="005E1552"/>
    <w:rsid w:val="005E2E57"/>
    <w:rsid w:val="005E62C7"/>
    <w:rsid w:val="005E653D"/>
    <w:rsid w:val="00605E8C"/>
    <w:rsid w:val="00610175"/>
    <w:rsid w:val="006336B2"/>
    <w:rsid w:val="006371C5"/>
    <w:rsid w:val="00640A97"/>
    <w:rsid w:val="00640D8F"/>
    <w:rsid w:val="0064298A"/>
    <w:rsid w:val="00643CDA"/>
    <w:rsid w:val="006445DE"/>
    <w:rsid w:val="0064654D"/>
    <w:rsid w:val="0064777B"/>
    <w:rsid w:val="00650C7A"/>
    <w:rsid w:val="00656C4B"/>
    <w:rsid w:val="006577D0"/>
    <w:rsid w:val="00660013"/>
    <w:rsid w:val="006600CC"/>
    <w:rsid w:val="006614E5"/>
    <w:rsid w:val="00661F78"/>
    <w:rsid w:val="00662679"/>
    <w:rsid w:val="00667356"/>
    <w:rsid w:val="00681902"/>
    <w:rsid w:val="00695C88"/>
    <w:rsid w:val="006A3A4F"/>
    <w:rsid w:val="006A5A47"/>
    <w:rsid w:val="006B5BCA"/>
    <w:rsid w:val="006B7BF7"/>
    <w:rsid w:val="006C0EF3"/>
    <w:rsid w:val="006C5F44"/>
    <w:rsid w:val="006D3541"/>
    <w:rsid w:val="006D56DD"/>
    <w:rsid w:val="006D7201"/>
    <w:rsid w:val="006E319A"/>
    <w:rsid w:val="006E4E39"/>
    <w:rsid w:val="006E7C9D"/>
    <w:rsid w:val="006F1A23"/>
    <w:rsid w:val="006F1A32"/>
    <w:rsid w:val="006F4B89"/>
    <w:rsid w:val="0071585B"/>
    <w:rsid w:val="00720552"/>
    <w:rsid w:val="0072138B"/>
    <w:rsid w:val="00723BE2"/>
    <w:rsid w:val="00725564"/>
    <w:rsid w:val="00725F74"/>
    <w:rsid w:val="00730A2D"/>
    <w:rsid w:val="0073154B"/>
    <w:rsid w:val="00731744"/>
    <w:rsid w:val="00734602"/>
    <w:rsid w:val="00740932"/>
    <w:rsid w:val="007412C3"/>
    <w:rsid w:val="00744333"/>
    <w:rsid w:val="007443FB"/>
    <w:rsid w:val="007459F9"/>
    <w:rsid w:val="0075013A"/>
    <w:rsid w:val="00752750"/>
    <w:rsid w:val="007542B6"/>
    <w:rsid w:val="007558A0"/>
    <w:rsid w:val="00757C5B"/>
    <w:rsid w:val="007616EE"/>
    <w:rsid w:val="007638EA"/>
    <w:rsid w:val="00767CF6"/>
    <w:rsid w:val="007710A0"/>
    <w:rsid w:val="0077265C"/>
    <w:rsid w:val="00780FCD"/>
    <w:rsid w:val="0078137B"/>
    <w:rsid w:val="00786054"/>
    <w:rsid w:val="00786AA4"/>
    <w:rsid w:val="00791209"/>
    <w:rsid w:val="00795C3F"/>
    <w:rsid w:val="00797155"/>
    <w:rsid w:val="007B2664"/>
    <w:rsid w:val="007B78E7"/>
    <w:rsid w:val="007C3304"/>
    <w:rsid w:val="007D3B06"/>
    <w:rsid w:val="007D570B"/>
    <w:rsid w:val="007E43D4"/>
    <w:rsid w:val="007E7A09"/>
    <w:rsid w:val="007F5FCF"/>
    <w:rsid w:val="0080492A"/>
    <w:rsid w:val="0080498A"/>
    <w:rsid w:val="00805851"/>
    <w:rsid w:val="008147D7"/>
    <w:rsid w:val="0081528C"/>
    <w:rsid w:val="00815F29"/>
    <w:rsid w:val="00817200"/>
    <w:rsid w:val="00817B99"/>
    <w:rsid w:val="00820330"/>
    <w:rsid w:val="00820DA9"/>
    <w:rsid w:val="00827712"/>
    <w:rsid w:val="008332AF"/>
    <w:rsid w:val="0083752E"/>
    <w:rsid w:val="00841253"/>
    <w:rsid w:val="00843080"/>
    <w:rsid w:val="008445D9"/>
    <w:rsid w:val="00844E28"/>
    <w:rsid w:val="008468D1"/>
    <w:rsid w:val="00846F0E"/>
    <w:rsid w:val="00852D51"/>
    <w:rsid w:val="008538BC"/>
    <w:rsid w:val="0086076D"/>
    <w:rsid w:val="008638BA"/>
    <w:rsid w:val="00865F02"/>
    <w:rsid w:val="008673B6"/>
    <w:rsid w:val="00870699"/>
    <w:rsid w:val="0087074E"/>
    <w:rsid w:val="00875F78"/>
    <w:rsid w:val="00875F8A"/>
    <w:rsid w:val="0088208F"/>
    <w:rsid w:val="00884365"/>
    <w:rsid w:val="00884DC2"/>
    <w:rsid w:val="008968EC"/>
    <w:rsid w:val="00897D92"/>
    <w:rsid w:val="008A17C1"/>
    <w:rsid w:val="008A6609"/>
    <w:rsid w:val="008B0C1F"/>
    <w:rsid w:val="008B394C"/>
    <w:rsid w:val="008B77EE"/>
    <w:rsid w:val="008D0CC5"/>
    <w:rsid w:val="008E3024"/>
    <w:rsid w:val="008E3118"/>
    <w:rsid w:val="008E6036"/>
    <w:rsid w:val="008F3C12"/>
    <w:rsid w:val="008F503D"/>
    <w:rsid w:val="008F6A24"/>
    <w:rsid w:val="008F7F0E"/>
    <w:rsid w:val="0090231C"/>
    <w:rsid w:val="00910096"/>
    <w:rsid w:val="009232B1"/>
    <w:rsid w:val="009276F1"/>
    <w:rsid w:val="0092776D"/>
    <w:rsid w:val="0093185C"/>
    <w:rsid w:val="009330E7"/>
    <w:rsid w:val="00933A3D"/>
    <w:rsid w:val="00934345"/>
    <w:rsid w:val="0094217D"/>
    <w:rsid w:val="00942CE6"/>
    <w:rsid w:val="00943353"/>
    <w:rsid w:val="009471F1"/>
    <w:rsid w:val="009475B2"/>
    <w:rsid w:val="00951ECF"/>
    <w:rsid w:val="00953102"/>
    <w:rsid w:val="00954867"/>
    <w:rsid w:val="00954CE8"/>
    <w:rsid w:val="0095610C"/>
    <w:rsid w:val="00970C79"/>
    <w:rsid w:val="00971E4C"/>
    <w:rsid w:val="009724B8"/>
    <w:rsid w:val="00972BDD"/>
    <w:rsid w:val="0097392D"/>
    <w:rsid w:val="009756F2"/>
    <w:rsid w:val="009777F4"/>
    <w:rsid w:val="00996E33"/>
    <w:rsid w:val="009A633E"/>
    <w:rsid w:val="009B4B28"/>
    <w:rsid w:val="009C405F"/>
    <w:rsid w:val="009C7777"/>
    <w:rsid w:val="009D106F"/>
    <w:rsid w:val="009D3CFB"/>
    <w:rsid w:val="009E38BB"/>
    <w:rsid w:val="009F4EA5"/>
    <w:rsid w:val="009F69C8"/>
    <w:rsid w:val="009F6C52"/>
    <w:rsid w:val="00A108F6"/>
    <w:rsid w:val="00A211F4"/>
    <w:rsid w:val="00A24B83"/>
    <w:rsid w:val="00A26700"/>
    <w:rsid w:val="00A26A57"/>
    <w:rsid w:val="00A2721F"/>
    <w:rsid w:val="00A32D1D"/>
    <w:rsid w:val="00A37E3A"/>
    <w:rsid w:val="00A4309D"/>
    <w:rsid w:val="00A43D18"/>
    <w:rsid w:val="00A47969"/>
    <w:rsid w:val="00A500CA"/>
    <w:rsid w:val="00A53C29"/>
    <w:rsid w:val="00A615A2"/>
    <w:rsid w:val="00A66D0C"/>
    <w:rsid w:val="00A70051"/>
    <w:rsid w:val="00A71065"/>
    <w:rsid w:val="00A75B8E"/>
    <w:rsid w:val="00A75DBA"/>
    <w:rsid w:val="00A806D8"/>
    <w:rsid w:val="00A8077B"/>
    <w:rsid w:val="00A90B66"/>
    <w:rsid w:val="00AA52BC"/>
    <w:rsid w:val="00AB47F2"/>
    <w:rsid w:val="00AB4EAC"/>
    <w:rsid w:val="00AB769A"/>
    <w:rsid w:val="00AC3A06"/>
    <w:rsid w:val="00AC4856"/>
    <w:rsid w:val="00AE0662"/>
    <w:rsid w:val="00AE781C"/>
    <w:rsid w:val="00AF1898"/>
    <w:rsid w:val="00AF37C3"/>
    <w:rsid w:val="00AF79BB"/>
    <w:rsid w:val="00B05DF9"/>
    <w:rsid w:val="00B071BD"/>
    <w:rsid w:val="00B10DA4"/>
    <w:rsid w:val="00B153D0"/>
    <w:rsid w:val="00B168FC"/>
    <w:rsid w:val="00B224DD"/>
    <w:rsid w:val="00B228FE"/>
    <w:rsid w:val="00B23C76"/>
    <w:rsid w:val="00B32E39"/>
    <w:rsid w:val="00B33B87"/>
    <w:rsid w:val="00B37E36"/>
    <w:rsid w:val="00B57B40"/>
    <w:rsid w:val="00B645EC"/>
    <w:rsid w:val="00B843CC"/>
    <w:rsid w:val="00B90C57"/>
    <w:rsid w:val="00B93C2D"/>
    <w:rsid w:val="00BA5D41"/>
    <w:rsid w:val="00BA7A32"/>
    <w:rsid w:val="00BB1BC9"/>
    <w:rsid w:val="00BB1FF6"/>
    <w:rsid w:val="00BC1D28"/>
    <w:rsid w:val="00BC2508"/>
    <w:rsid w:val="00BC4C58"/>
    <w:rsid w:val="00BC4E50"/>
    <w:rsid w:val="00BD3BAB"/>
    <w:rsid w:val="00BD42C6"/>
    <w:rsid w:val="00BE1EC3"/>
    <w:rsid w:val="00BE4872"/>
    <w:rsid w:val="00BF3DCD"/>
    <w:rsid w:val="00BF553F"/>
    <w:rsid w:val="00BF58CE"/>
    <w:rsid w:val="00BF5E8C"/>
    <w:rsid w:val="00C01ABE"/>
    <w:rsid w:val="00C02DF9"/>
    <w:rsid w:val="00C04E6D"/>
    <w:rsid w:val="00C065B3"/>
    <w:rsid w:val="00C10F18"/>
    <w:rsid w:val="00C13473"/>
    <w:rsid w:val="00C143BD"/>
    <w:rsid w:val="00C1459E"/>
    <w:rsid w:val="00C237B7"/>
    <w:rsid w:val="00C244E2"/>
    <w:rsid w:val="00C2642B"/>
    <w:rsid w:val="00C40331"/>
    <w:rsid w:val="00C420C9"/>
    <w:rsid w:val="00C43486"/>
    <w:rsid w:val="00C454DA"/>
    <w:rsid w:val="00C46D7A"/>
    <w:rsid w:val="00C46FDE"/>
    <w:rsid w:val="00C50536"/>
    <w:rsid w:val="00C7253C"/>
    <w:rsid w:val="00C72E25"/>
    <w:rsid w:val="00C72F4E"/>
    <w:rsid w:val="00C805ED"/>
    <w:rsid w:val="00C86BFA"/>
    <w:rsid w:val="00C907E2"/>
    <w:rsid w:val="00CB257F"/>
    <w:rsid w:val="00CC2789"/>
    <w:rsid w:val="00CC2E84"/>
    <w:rsid w:val="00CC53ED"/>
    <w:rsid w:val="00CC782A"/>
    <w:rsid w:val="00CD2E7F"/>
    <w:rsid w:val="00CD6C98"/>
    <w:rsid w:val="00CD7B76"/>
    <w:rsid w:val="00CE57B2"/>
    <w:rsid w:val="00CF5B0A"/>
    <w:rsid w:val="00CF6DCA"/>
    <w:rsid w:val="00D0177E"/>
    <w:rsid w:val="00D164A4"/>
    <w:rsid w:val="00D211F0"/>
    <w:rsid w:val="00D2246E"/>
    <w:rsid w:val="00D279F9"/>
    <w:rsid w:val="00D356FC"/>
    <w:rsid w:val="00D35EB3"/>
    <w:rsid w:val="00D4013F"/>
    <w:rsid w:val="00D41BA1"/>
    <w:rsid w:val="00D43E1E"/>
    <w:rsid w:val="00D479DA"/>
    <w:rsid w:val="00D50F34"/>
    <w:rsid w:val="00D53B67"/>
    <w:rsid w:val="00D55EAF"/>
    <w:rsid w:val="00D57933"/>
    <w:rsid w:val="00D62A23"/>
    <w:rsid w:val="00D72B68"/>
    <w:rsid w:val="00D7388A"/>
    <w:rsid w:val="00D76451"/>
    <w:rsid w:val="00D76FD5"/>
    <w:rsid w:val="00D818F3"/>
    <w:rsid w:val="00D8305C"/>
    <w:rsid w:val="00D903F0"/>
    <w:rsid w:val="00D975C3"/>
    <w:rsid w:val="00DA3725"/>
    <w:rsid w:val="00DB4C6E"/>
    <w:rsid w:val="00DE35B2"/>
    <w:rsid w:val="00DE3656"/>
    <w:rsid w:val="00DE4F06"/>
    <w:rsid w:val="00DE5424"/>
    <w:rsid w:val="00DF1CDD"/>
    <w:rsid w:val="00E02525"/>
    <w:rsid w:val="00E04E54"/>
    <w:rsid w:val="00E072AF"/>
    <w:rsid w:val="00E07BAD"/>
    <w:rsid w:val="00E40ECB"/>
    <w:rsid w:val="00E44193"/>
    <w:rsid w:val="00E46CC1"/>
    <w:rsid w:val="00E508B5"/>
    <w:rsid w:val="00E63EA8"/>
    <w:rsid w:val="00E64811"/>
    <w:rsid w:val="00E7232C"/>
    <w:rsid w:val="00E81646"/>
    <w:rsid w:val="00E82A46"/>
    <w:rsid w:val="00E835CB"/>
    <w:rsid w:val="00E836BC"/>
    <w:rsid w:val="00E91889"/>
    <w:rsid w:val="00E9664C"/>
    <w:rsid w:val="00E968BB"/>
    <w:rsid w:val="00EA3ABB"/>
    <w:rsid w:val="00EA4440"/>
    <w:rsid w:val="00EA4AFC"/>
    <w:rsid w:val="00EA4CD2"/>
    <w:rsid w:val="00EA5DC4"/>
    <w:rsid w:val="00EA6838"/>
    <w:rsid w:val="00EC229E"/>
    <w:rsid w:val="00EC662B"/>
    <w:rsid w:val="00EE27F0"/>
    <w:rsid w:val="00EE2B14"/>
    <w:rsid w:val="00EE3FF9"/>
    <w:rsid w:val="00EE5C0D"/>
    <w:rsid w:val="00EE60FE"/>
    <w:rsid w:val="00EE737B"/>
    <w:rsid w:val="00EF06F3"/>
    <w:rsid w:val="00EF12BE"/>
    <w:rsid w:val="00EF1482"/>
    <w:rsid w:val="00EF22D9"/>
    <w:rsid w:val="00EF277F"/>
    <w:rsid w:val="00F04D87"/>
    <w:rsid w:val="00F0689E"/>
    <w:rsid w:val="00F124AE"/>
    <w:rsid w:val="00F14F6D"/>
    <w:rsid w:val="00F232DC"/>
    <w:rsid w:val="00F24A99"/>
    <w:rsid w:val="00F250C7"/>
    <w:rsid w:val="00F3288A"/>
    <w:rsid w:val="00F3673C"/>
    <w:rsid w:val="00F47E78"/>
    <w:rsid w:val="00F511A4"/>
    <w:rsid w:val="00F51287"/>
    <w:rsid w:val="00F520DA"/>
    <w:rsid w:val="00F52ED1"/>
    <w:rsid w:val="00F53347"/>
    <w:rsid w:val="00F5782E"/>
    <w:rsid w:val="00F620F1"/>
    <w:rsid w:val="00F67B13"/>
    <w:rsid w:val="00F71405"/>
    <w:rsid w:val="00F73516"/>
    <w:rsid w:val="00F80E6B"/>
    <w:rsid w:val="00F868AE"/>
    <w:rsid w:val="00F87207"/>
    <w:rsid w:val="00F8789F"/>
    <w:rsid w:val="00F87C98"/>
    <w:rsid w:val="00F906A1"/>
    <w:rsid w:val="00F9113F"/>
    <w:rsid w:val="00FA0F31"/>
    <w:rsid w:val="00FA16C5"/>
    <w:rsid w:val="00FA25F3"/>
    <w:rsid w:val="00FA52DA"/>
    <w:rsid w:val="00FA5E55"/>
    <w:rsid w:val="00FA622E"/>
    <w:rsid w:val="00FB22CC"/>
    <w:rsid w:val="00FB5C75"/>
    <w:rsid w:val="00FD193E"/>
    <w:rsid w:val="00FD22F3"/>
    <w:rsid w:val="00FE1469"/>
    <w:rsid w:val="00FE4D66"/>
    <w:rsid w:val="00FF3DE2"/>
    <w:rsid w:val="00FF6411"/>
    <w:rsid w:val="01DDA9EC"/>
    <w:rsid w:val="06A0A728"/>
    <w:rsid w:val="0D4F5FC3"/>
    <w:rsid w:val="0F0E9956"/>
    <w:rsid w:val="1209665C"/>
    <w:rsid w:val="1241A935"/>
    <w:rsid w:val="13ACCA61"/>
    <w:rsid w:val="18974C43"/>
    <w:rsid w:val="1CE46CE5"/>
    <w:rsid w:val="1DD5C548"/>
    <w:rsid w:val="20849F22"/>
    <w:rsid w:val="214767E5"/>
    <w:rsid w:val="21EEA95D"/>
    <w:rsid w:val="23668E48"/>
    <w:rsid w:val="2668F3F0"/>
    <w:rsid w:val="274CF9D3"/>
    <w:rsid w:val="2E7345E8"/>
    <w:rsid w:val="2ECC73D5"/>
    <w:rsid w:val="30366B88"/>
    <w:rsid w:val="32764052"/>
    <w:rsid w:val="330259A5"/>
    <w:rsid w:val="34BD43BB"/>
    <w:rsid w:val="34FFBB61"/>
    <w:rsid w:val="37CF3F57"/>
    <w:rsid w:val="391ECC3C"/>
    <w:rsid w:val="3B394576"/>
    <w:rsid w:val="3D3DA89C"/>
    <w:rsid w:val="3DD550F6"/>
    <w:rsid w:val="3FBE9389"/>
    <w:rsid w:val="3FE4DE32"/>
    <w:rsid w:val="4712A74D"/>
    <w:rsid w:val="47E05E61"/>
    <w:rsid w:val="49685C74"/>
    <w:rsid w:val="4BF82E1D"/>
    <w:rsid w:val="4C888C12"/>
    <w:rsid w:val="4D27C106"/>
    <w:rsid w:val="4D2E3F64"/>
    <w:rsid w:val="4E8911B8"/>
    <w:rsid w:val="4ED6DB9A"/>
    <w:rsid w:val="4ED89BD1"/>
    <w:rsid w:val="50817733"/>
    <w:rsid w:val="50AFBB33"/>
    <w:rsid w:val="533FC149"/>
    <w:rsid w:val="5A724D67"/>
    <w:rsid w:val="5D6AD3B2"/>
    <w:rsid w:val="5D9DFBA6"/>
    <w:rsid w:val="5FA3FF84"/>
    <w:rsid w:val="65316B0F"/>
    <w:rsid w:val="6D50B71C"/>
    <w:rsid w:val="6EF71F6E"/>
    <w:rsid w:val="6F45C8AD"/>
    <w:rsid w:val="73F3F720"/>
    <w:rsid w:val="75500FE4"/>
    <w:rsid w:val="7749D1BA"/>
    <w:rsid w:val="7DC4CAE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0C48C899-F27A-4FF4-9778-F914DA4F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semiHidden/>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 w:type="character" w:styleId="Fett">
    <w:name w:val="Strong"/>
    <w:basedOn w:val="Absatz-Standardschriftart"/>
    <w:uiPriority w:val="22"/>
    <w:qFormat/>
    <w:rsid w:val="00225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0461354">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175846819">
      <w:bodyDiv w:val="1"/>
      <w:marLeft w:val="0"/>
      <w:marRight w:val="0"/>
      <w:marTop w:val="0"/>
      <w:marBottom w:val="0"/>
      <w:divBdr>
        <w:top w:val="none" w:sz="0" w:space="0" w:color="auto"/>
        <w:left w:val="none" w:sz="0" w:space="0" w:color="auto"/>
        <w:bottom w:val="none" w:sz="0" w:space="0" w:color="auto"/>
        <w:right w:val="none" w:sz="0" w:space="0" w:color="auto"/>
      </w:divBdr>
      <w:divsChild>
        <w:div w:id="64374689">
          <w:marLeft w:val="0"/>
          <w:marRight w:val="0"/>
          <w:marTop w:val="0"/>
          <w:marBottom w:val="0"/>
          <w:divBdr>
            <w:top w:val="none" w:sz="0" w:space="0" w:color="auto"/>
            <w:left w:val="none" w:sz="0" w:space="0" w:color="auto"/>
            <w:bottom w:val="none" w:sz="0" w:space="0" w:color="auto"/>
            <w:right w:val="none" w:sz="0" w:space="0" w:color="auto"/>
          </w:divBdr>
        </w:div>
      </w:divsChild>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380442167">
      <w:bodyDiv w:val="1"/>
      <w:marLeft w:val="0"/>
      <w:marRight w:val="0"/>
      <w:marTop w:val="0"/>
      <w:marBottom w:val="0"/>
      <w:divBdr>
        <w:top w:val="none" w:sz="0" w:space="0" w:color="auto"/>
        <w:left w:val="none" w:sz="0" w:space="0" w:color="auto"/>
        <w:bottom w:val="none" w:sz="0" w:space="0" w:color="auto"/>
        <w:right w:val="none" w:sz="0" w:space="0" w:color="auto"/>
      </w:divBdr>
    </w:div>
    <w:div w:id="430585897">
      <w:bodyDiv w:val="1"/>
      <w:marLeft w:val="0"/>
      <w:marRight w:val="0"/>
      <w:marTop w:val="0"/>
      <w:marBottom w:val="0"/>
      <w:divBdr>
        <w:top w:val="none" w:sz="0" w:space="0" w:color="auto"/>
        <w:left w:val="none" w:sz="0" w:space="0" w:color="auto"/>
        <w:bottom w:val="none" w:sz="0" w:space="0" w:color="auto"/>
        <w:right w:val="none" w:sz="0" w:space="0" w:color="auto"/>
      </w:divBdr>
    </w:div>
    <w:div w:id="589314490">
      <w:bodyDiv w:val="1"/>
      <w:marLeft w:val="0"/>
      <w:marRight w:val="0"/>
      <w:marTop w:val="0"/>
      <w:marBottom w:val="0"/>
      <w:divBdr>
        <w:top w:val="none" w:sz="0" w:space="0" w:color="auto"/>
        <w:left w:val="none" w:sz="0" w:space="0" w:color="auto"/>
        <w:bottom w:val="none" w:sz="0" w:space="0" w:color="auto"/>
        <w:right w:val="none" w:sz="0" w:space="0" w:color="auto"/>
      </w:divBdr>
    </w:div>
    <w:div w:id="731274545">
      <w:bodyDiv w:val="1"/>
      <w:marLeft w:val="0"/>
      <w:marRight w:val="0"/>
      <w:marTop w:val="0"/>
      <w:marBottom w:val="0"/>
      <w:divBdr>
        <w:top w:val="none" w:sz="0" w:space="0" w:color="auto"/>
        <w:left w:val="none" w:sz="0" w:space="0" w:color="auto"/>
        <w:bottom w:val="none" w:sz="0" w:space="0" w:color="auto"/>
        <w:right w:val="none" w:sz="0" w:space="0" w:color="auto"/>
      </w:divBdr>
    </w:div>
    <w:div w:id="892694482">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05792811">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830554046">
      <w:bodyDiv w:val="1"/>
      <w:marLeft w:val="0"/>
      <w:marRight w:val="0"/>
      <w:marTop w:val="0"/>
      <w:marBottom w:val="0"/>
      <w:divBdr>
        <w:top w:val="none" w:sz="0" w:space="0" w:color="auto"/>
        <w:left w:val="none" w:sz="0" w:space="0" w:color="auto"/>
        <w:bottom w:val="none" w:sz="0" w:space="0" w:color="auto"/>
        <w:right w:val="none" w:sz="0" w:space="0" w:color="auto"/>
      </w:divBdr>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DFCF-3C19-4493-B72D-294EE5DC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3193</Characters>
  <Application>Microsoft Office Word</Application>
  <DocSecurity>0</DocSecurity>
  <Lines>65</Lines>
  <Paragraphs>20</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Andreas Jüngling</cp:lastModifiedBy>
  <cp:revision>3</cp:revision>
  <cp:lastPrinted>2020-07-01T15:53:00Z</cp:lastPrinted>
  <dcterms:created xsi:type="dcterms:W3CDTF">2020-10-06T10:28:00Z</dcterms:created>
  <dcterms:modified xsi:type="dcterms:W3CDTF">2020-10-06T11:30:00Z</dcterms:modified>
</cp:coreProperties>
</file>